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5EE" w:rsidRDefault="006975EE">
      <w:pPr>
        <w:pStyle w:val="Title"/>
        <w:rPr>
          <w:sz w:val="20"/>
          <w:szCs w:val="20"/>
        </w:rPr>
      </w:pPr>
      <w:r>
        <w:rPr>
          <w:sz w:val="20"/>
          <w:szCs w:val="20"/>
        </w:rPr>
        <w:t>МУНИЦИПАЛЬНОЕ ОБРАЗОВАНИЕ МУНИЦИПАЛЬНЫЙ ОКРУГ</w:t>
      </w:r>
    </w:p>
    <w:p w:rsidR="006975EE" w:rsidRDefault="006975EE">
      <w:pPr>
        <w:jc w:val="center"/>
        <w:rPr>
          <w:rFonts w:ascii="Arial" w:hAnsi="Arial" w:cs="Arial"/>
          <w:b/>
          <w:bCs/>
          <w:color w:val="3366FF"/>
          <w:sz w:val="20"/>
          <w:szCs w:val="20"/>
        </w:rPr>
      </w:pPr>
      <w:r>
        <w:rPr>
          <w:rFonts w:ascii="Arial" w:hAnsi="Arial" w:cs="Arial"/>
          <w:b/>
          <w:bCs/>
          <w:color w:val="3366FF"/>
          <w:sz w:val="20"/>
          <w:szCs w:val="20"/>
        </w:rPr>
        <w:t>ДВОРЦОВЫЙ ОКРУГ</w:t>
      </w:r>
    </w:p>
    <w:p w:rsidR="006975EE" w:rsidRDefault="006975EE">
      <w:pPr>
        <w:jc w:val="center"/>
        <w:rPr>
          <w:rFonts w:ascii="Arial" w:hAnsi="Arial" w:cs="Arial"/>
          <w:b/>
          <w:bCs/>
          <w:color w:val="3366FF"/>
          <w:sz w:val="20"/>
          <w:szCs w:val="20"/>
        </w:rPr>
      </w:pPr>
      <w:r>
        <w:rPr>
          <w:rFonts w:ascii="Arial" w:hAnsi="Arial" w:cs="Arial"/>
          <w:b/>
          <w:bCs/>
          <w:color w:val="3366FF"/>
          <w:sz w:val="20"/>
          <w:szCs w:val="20"/>
        </w:rPr>
        <w:t>МУНИЦИПАЛЬНЫЙ СОВЕТ</w:t>
      </w:r>
    </w:p>
    <w:p w:rsidR="006975EE" w:rsidRDefault="006975EE">
      <w:pPr>
        <w:jc w:val="center"/>
        <w:rPr>
          <w:rFonts w:ascii="Arial" w:hAnsi="Arial" w:cs="Arial"/>
          <w:b/>
          <w:bCs/>
          <w:color w:val="3366FF"/>
          <w:sz w:val="24"/>
          <w:szCs w:val="24"/>
        </w:rPr>
      </w:pPr>
      <w:r>
        <w:rPr>
          <w:rFonts w:ascii="Arial" w:hAnsi="Arial" w:cs="Arial"/>
          <w:b/>
          <w:bCs/>
          <w:color w:val="3366FF"/>
          <w:sz w:val="20"/>
          <w:szCs w:val="20"/>
        </w:rPr>
        <w:t>четвертый созыв</w:t>
      </w:r>
    </w:p>
    <w:p w:rsidR="006975EE" w:rsidRDefault="006975EE">
      <w:pPr>
        <w:jc w:val="center"/>
        <w:rPr>
          <w:rFonts w:ascii="Arial" w:hAnsi="Arial" w:cs="Arial"/>
          <w:b/>
          <w:bCs/>
          <w:color w:val="3366FF"/>
          <w:sz w:val="24"/>
          <w:szCs w:val="24"/>
        </w:rPr>
      </w:pPr>
      <w:r>
        <w:rPr>
          <w:rFonts w:ascii="Arial" w:hAnsi="Arial" w:cs="Arial"/>
          <w:b/>
          <w:bCs/>
          <w:color w:val="3366FF"/>
          <w:sz w:val="24"/>
          <w:szCs w:val="24"/>
        </w:rPr>
        <w:t>РЕШЕНИЕ</w:t>
      </w:r>
    </w:p>
    <w:p w:rsidR="006975EE" w:rsidRDefault="006975EE">
      <w:pPr>
        <w:jc w:val="center"/>
        <w:rPr>
          <w:rFonts w:ascii="Arial" w:hAnsi="Arial" w:cs="Arial"/>
          <w:b/>
          <w:bCs/>
          <w:color w:val="3366FF"/>
          <w:sz w:val="20"/>
          <w:szCs w:val="20"/>
        </w:rPr>
      </w:pPr>
      <w:r>
        <w:rPr>
          <w:rFonts w:ascii="Arial" w:hAnsi="Arial" w:cs="Arial"/>
          <w:b/>
          <w:bCs/>
          <w:color w:val="3366FF"/>
          <w:sz w:val="20"/>
          <w:szCs w:val="20"/>
        </w:rPr>
        <w:t>15.05.2012                          Санкт-Петербург                             №  197</w:t>
      </w:r>
    </w:p>
    <w:p w:rsidR="006975EE" w:rsidRDefault="006975EE">
      <w:pPr>
        <w:jc w:val="center"/>
        <w:rPr>
          <w:rFonts w:ascii="Arial" w:hAnsi="Arial" w:cs="Arial"/>
          <w:b/>
          <w:bCs/>
          <w:color w:val="3366FF"/>
          <w:sz w:val="28"/>
          <w:szCs w:val="28"/>
        </w:rPr>
      </w:pPr>
      <w:r>
        <w:rPr>
          <w:rFonts w:ascii="Arial" w:hAnsi="Arial" w:cs="Arial"/>
          <w:b/>
          <w:bCs/>
          <w:color w:val="3366FF"/>
          <w:sz w:val="28"/>
          <w:szCs w:val="28"/>
        </w:rPr>
        <w:t>О внесении изменений в решение муниципального Совета от 06.06.2011 № 149</w:t>
      </w:r>
    </w:p>
    <w:p w:rsidR="006975EE" w:rsidRDefault="006975EE">
      <w:pPr>
        <w:rPr>
          <w:rFonts w:ascii="Times New Roman" w:hAnsi="Times New Roman" w:cs="Times New Roman"/>
          <w:sz w:val="24"/>
          <w:szCs w:val="24"/>
        </w:rPr>
      </w:pPr>
    </w:p>
    <w:p w:rsidR="006975EE" w:rsidRDefault="006975EE">
      <w:pPr>
        <w:rPr>
          <w:rFonts w:ascii="Times New Roman" w:hAnsi="Times New Roman" w:cs="Times New Roman"/>
          <w:sz w:val="24"/>
          <w:szCs w:val="24"/>
        </w:rPr>
      </w:pPr>
      <w:r>
        <w:rPr>
          <w:rFonts w:ascii="Times New Roman" w:hAnsi="Times New Roman" w:cs="Times New Roman"/>
          <w:sz w:val="24"/>
          <w:szCs w:val="24"/>
        </w:rPr>
        <w:t xml:space="preserve">       Руководствуясь Указом Президента Российской Федерации «О Государственном геральдическом регистре Российской Федерации» от 21 марта 1996г. N 403, пунктом  4 статьи 3 Устава муниципального образования муниципальный округ Дворцовый округ,   принимая во внимание решение постоянной комиссии по бюджету, финансам и правовым вопросам, муниципальный Совет муниципального образования  муниципальный округ Дворцовый округ (протокол от 15.05.2012г. № 49)</w:t>
      </w:r>
    </w:p>
    <w:p w:rsidR="006975EE" w:rsidRDefault="006975EE">
      <w:pPr>
        <w:rPr>
          <w:rFonts w:ascii="Times New Roman" w:hAnsi="Times New Roman" w:cs="Times New Roman"/>
          <w:sz w:val="24"/>
          <w:szCs w:val="24"/>
        </w:rPr>
      </w:pPr>
      <w:r>
        <w:rPr>
          <w:rFonts w:ascii="Times New Roman" w:hAnsi="Times New Roman" w:cs="Times New Roman"/>
          <w:sz w:val="24"/>
          <w:szCs w:val="24"/>
        </w:rPr>
        <w:t xml:space="preserve"> РЕШИЛ:</w:t>
      </w:r>
    </w:p>
    <w:p w:rsidR="006975EE" w:rsidRDefault="006975EE">
      <w:pPr>
        <w:rPr>
          <w:rFonts w:ascii="Times New Roman" w:hAnsi="Times New Roman" w:cs="Times New Roman"/>
          <w:sz w:val="24"/>
          <w:szCs w:val="24"/>
        </w:rPr>
      </w:pPr>
      <w:r>
        <w:rPr>
          <w:rFonts w:ascii="Times New Roman" w:hAnsi="Times New Roman" w:cs="Times New Roman"/>
          <w:sz w:val="24"/>
          <w:szCs w:val="24"/>
        </w:rPr>
        <w:t>1. Внести следующие изменения в решение муниципального Совета муниципального образования Дворцовый округ “Об утверждении официальных символов  муниципального образования  муниципальный округ Дворцовый округ” от  6 июня 2011 года N 149:</w:t>
      </w:r>
    </w:p>
    <w:p w:rsidR="006975EE" w:rsidRDefault="006975EE">
      <w:pPr>
        <w:rPr>
          <w:rFonts w:ascii="Times New Roman" w:hAnsi="Times New Roman" w:cs="Times New Roman"/>
          <w:sz w:val="24"/>
          <w:szCs w:val="24"/>
        </w:rPr>
      </w:pPr>
      <w:r>
        <w:rPr>
          <w:rFonts w:ascii="Times New Roman" w:hAnsi="Times New Roman" w:cs="Times New Roman"/>
          <w:sz w:val="24"/>
          <w:szCs w:val="24"/>
        </w:rPr>
        <w:t>1.1. Пункт 3.1 «Геральдическое описание Герба» части 3 Положения о Гербе муниципального образования муниципальный округ Дворцовый округ (далее – Положение о Гербе) изложить в новой редакции:</w:t>
      </w:r>
    </w:p>
    <w:p w:rsidR="006975EE" w:rsidRDefault="006975EE">
      <w:pPr>
        <w:rPr>
          <w:rFonts w:ascii="Times New Roman" w:hAnsi="Times New Roman" w:cs="Times New Roman"/>
          <w:sz w:val="24"/>
          <w:szCs w:val="24"/>
        </w:rPr>
      </w:pPr>
      <w:r>
        <w:rPr>
          <w:rFonts w:ascii="Times New Roman" w:hAnsi="Times New Roman" w:cs="Times New Roman"/>
          <w:sz w:val="24"/>
          <w:szCs w:val="24"/>
        </w:rPr>
        <w:t xml:space="preserve">            - “В золотом поле столб, сложенный из собранных пучками по три и, положенных в противоположные перевязи пурпурных знамен, чередующихся с возникающими из-за них и поверх них, обращенных к центру щита, серебряными орлиными головами”.</w:t>
      </w:r>
    </w:p>
    <w:p w:rsidR="006975EE" w:rsidRDefault="006975EE">
      <w:pPr>
        <w:rPr>
          <w:rFonts w:ascii="Times New Roman" w:hAnsi="Times New Roman" w:cs="Times New Roman"/>
          <w:sz w:val="24"/>
          <w:szCs w:val="24"/>
        </w:rPr>
      </w:pPr>
      <w:r>
        <w:rPr>
          <w:rFonts w:ascii="Times New Roman" w:hAnsi="Times New Roman" w:cs="Times New Roman"/>
          <w:sz w:val="24"/>
          <w:szCs w:val="24"/>
        </w:rPr>
        <w:t>1.2. Пункт 3.2  «Обоснование символики Герба» части 3 Положения о Гербе изложить в новой редакции:</w:t>
      </w:r>
    </w:p>
    <w:p w:rsidR="006975EE" w:rsidRDefault="006975EE">
      <w:pPr>
        <w:rPr>
          <w:rFonts w:ascii="Times New Roman" w:hAnsi="Times New Roman" w:cs="Times New Roman"/>
          <w:sz w:val="24"/>
          <w:szCs w:val="24"/>
        </w:rPr>
      </w:pPr>
      <w:r>
        <w:rPr>
          <w:rFonts w:ascii="Times New Roman" w:hAnsi="Times New Roman" w:cs="Times New Roman"/>
          <w:sz w:val="24"/>
          <w:szCs w:val="24"/>
        </w:rPr>
        <w:t xml:space="preserve">             - «Территорию округа по праву можно назвать музеем разных видов искусств. По дворцам набережных можно проследить все моменты развития архитектурных стилей. В прославленных на весь мир музеях хранятся известнейшие коллекции разных видов искусств - мировые шедевры живописи, скульптуры, декоративно- прикладного искусства.     </w:t>
      </w:r>
    </w:p>
    <w:p w:rsidR="006975EE" w:rsidRDefault="006975EE">
      <w:pPr>
        <w:rPr>
          <w:rFonts w:ascii="Times New Roman" w:hAnsi="Times New Roman" w:cs="Times New Roman"/>
          <w:sz w:val="24"/>
          <w:szCs w:val="24"/>
        </w:rPr>
      </w:pPr>
      <w:r>
        <w:rPr>
          <w:rFonts w:ascii="Times New Roman" w:hAnsi="Times New Roman" w:cs="Times New Roman"/>
          <w:sz w:val="24"/>
          <w:szCs w:val="24"/>
        </w:rPr>
        <w:t xml:space="preserve">             На территории Дворцового округа расположены самый большой художественный музей страны - Государственный Эрмитаж, занимающий здания Зимнего дворца Малого Эрмитажа, Старого Эрмитажа, Эрмитажного театра и Нового Эрмитажа), Государственный Русский музей (в здании бывшего Михайловского дворца) и его филиал в здании бывшего Мраморного дворца, музей этнографии, музей-дворец Петра I в Летнем саду, музей – квартира А.С. Пушкина (Всероссийский музей  А.С. Пушкина). Российский Этнографический музей был создан в 1902 году как этнографический отдел Русского музея. Замечательным памятником садово-паркового искусства является Летний сад- первый сад города,  заложенный в 1704 году. Михайловский сад ведет свое начало от сада, устроенного в 1713 году вокруг деревянного летнего дворца Екатерины I. С конца XVIII века при строительстве Михайловского дворца  он был сохранен, а в 1823- 1825 гг. включен в усадьбу Михайловского дворца и перепланирован. Мосты через каналы, плавные разнообразные линии спусков к воде, полукруглые скамьи и другие части, лишенные украшений представляют большую художественную ценность. Набережные, не имевшие торгового значения, должны были служить украшением города.</w:t>
      </w:r>
    </w:p>
    <w:p w:rsidR="006975EE" w:rsidRDefault="006975EE">
      <w:pPr>
        <w:rPr>
          <w:rFonts w:ascii="Times New Roman" w:hAnsi="Times New Roman" w:cs="Times New Roman"/>
          <w:sz w:val="24"/>
          <w:szCs w:val="24"/>
        </w:rPr>
      </w:pPr>
      <w:r>
        <w:rPr>
          <w:rFonts w:ascii="Times New Roman" w:hAnsi="Times New Roman" w:cs="Times New Roman"/>
          <w:sz w:val="24"/>
          <w:szCs w:val="24"/>
        </w:rPr>
        <w:t xml:space="preserve">            По сторонам округ ограничен  Невой, Фонтанкой и Невским проспектом. Прекрасен вид на Стрелку Васильевского острова и на Петропавловскую крепость, открывающийся с Дворцовой набережной и с Троицкого (до 1991 г.- Кировского) моста. А. Дюма писал об этом виде: “Я не знаю, есть  ли в мире какой-нибудь вид, который мог бы сравниться с развернувшейся перед моими глазами панорамой…”</w:t>
      </w:r>
    </w:p>
    <w:p w:rsidR="006975EE" w:rsidRDefault="006975EE">
      <w:pPr>
        <w:rPr>
          <w:rFonts w:ascii="Times New Roman" w:hAnsi="Times New Roman" w:cs="Times New Roman"/>
          <w:sz w:val="24"/>
          <w:szCs w:val="24"/>
        </w:rPr>
      </w:pPr>
      <w:r>
        <w:rPr>
          <w:rFonts w:ascii="Times New Roman" w:hAnsi="Times New Roman" w:cs="Times New Roman"/>
          <w:sz w:val="24"/>
          <w:szCs w:val="24"/>
        </w:rPr>
        <w:t xml:space="preserve">            Театральную и музыкальная жизнь города трудно представить без театра Оперы и Балета им. М. П. Мусоргского, театра им В. Ф. Комиссаржевской, театра эстрады им. А. И. Райкина, академического театра комедии им. Н. П. Акимова, Санкт-Петербургского театра Марионеток им. Е.С. Деммени, Академической Капеллы им. М.И. Глинки, Санкт-Петербургской Академической Филармонии им. Д.Д. Шостаковича. В 1877 году по инициативе главы цирковой семьи, гастролирующей в Петербурге,  Г. Чинизелли на набережной Фонтанки был построен первый в России каменный цирк.</w:t>
      </w:r>
    </w:p>
    <w:p w:rsidR="006975EE" w:rsidRDefault="006975EE">
      <w:pPr>
        <w:rPr>
          <w:rFonts w:ascii="Times New Roman" w:hAnsi="Times New Roman" w:cs="Times New Roman"/>
          <w:sz w:val="24"/>
          <w:szCs w:val="24"/>
        </w:rPr>
      </w:pPr>
      <w:r>
        <w:rPr>
          <w:rFonts w:ascii="Times New Roman" w:hAnsi="Times New Roman" w:cs="Times New Roman"/>
          <w:sz w:val="24"/>
          <w:szCs w:val="24"/>
        </w:rPr>
        <w:t xml:space="preserve">            На территории Дворцового округа расположены памятники Петру I, А.С. Пушкину, И. А. Крылову, А. В. Суворову.</w:t>
      </w:r>
    </w:p>
    <w:p w:rsidR="006975EE" w:rsidRDefault="006975EE">
      <w:pPr>
        <w:rPr>
          <w:rFonts w:ascii="Times New Roman" w:hAnsi="Times New Roman" w:cs="Times New Roman"/>
          <w:sz w:val="24"/>
          <w:szCs w:val="24"/>
        </w:rPr>
      </w:pPr>
      <w:r>
        <w:rPr>
          <w:rFonts w:ascii="Times New Roman" w:hAnsi="Times New Roman" w:cs="Times New Roman"/>
          <w:sz w:val="24"/>
          <w:szCs w:val="24"/>
        </w:rPr>
        <w:t xml:space="preserve">            Памятником доблести и славы русского воинства, защитившего свою родину от наполеоновской армии и победоносно завершившему Отечественную войну 1812 года  является Арка Главного штаба (торжественно открыта 24 октября 1828 года). Этой же теме посвящен и декор самого здания, окаймляющего южную границу Дворцовой площади (архитектор- К. И. Росси). Воинские доспехи, щиты, шлемы, копья, символизируют трофеи, добытые в победоносных сражениях. В 1818-1819 годах Дворцовая площадь полностью была реконструирована по проекту архитектора К. И. Росси и стала памятником градостроительного искусства мирового значения. Росси ограничил пространство площади с юга двумя зданиями Главного штаба и Военного министерства и Министерства финансов и Министерства иностранных дел.  В советское время в здании разместился штаб Ленинградского военного округа. Идейно-художественный смысл прославления победы русского оружия лежит в основе колесницы Победы, венчающей арку здания Главного штаба (скульпторы - С. С.  Пименов и В. И. Демут - Малиновский) и  Александровской колонны (открытой 30 августа 1834 года).  Колонна завершена четко вырисовывающейся на фоне неба аллегорической фигурой ангела, попирающего змею. Колонна была сооружена по проекту О. Монферрана. Здание бывшего штаба войск гвардии (архитектор- А. П. Брюллов), построенное в 1837-1843 годах в классическом стиле украшено лепными украшениями на мотивы военной символики, отражающей идею победы России в Отечественной войне 1812 года. </w:t>
      </w:r>
    </w:p>
    <w:p w:rsidR="006975EE" w:rsidRDefault="006975EE">
      <w:pPr>
        <w:rPr>
          <w:rFonts w:ascii="Times New Roman" w:hAnsi="Times New Roman" w:cs="Times New Roman"/>
          <w:sz w:val="24"/>
          <w:szCs w:val="24"/>
        </w:rPr>
      </w:pPr>
      <w:r>
        <w:rPr>
          <w:rFonts w:ascii="Times New Roman" w:hAnsi="Times New Roman" w:cs="Times New Roman"/>
          <w:sz w:val="24"/>
          <w:szCs w:val="24"/>
        </w:rPr>
        <w:t xml:space="preserve">             В  XIX- начале XX века площадь была местом военных смотров и парадов. После Октябрьской революции 1917 года здесь проходили военные парады и демонстрации. В день праздничной встречи советских воинов-победителей 8 июля 1945 года под сводами арки прошли защитники Родины- солдаты и офицеры Ленинградского гвардейского корпуса. Поныне триумфальная арка Главного штаба - свидетель российских праздников, в том числе и ежегодно проводимого 9 мая военного парада в честь Дня Победы.</w:t>
      </w:r>
    </w:p>
    <w:p w:rsidR="006975EE" w:rsidRDefault="006975EE">
      <w:pPr>
        <w:rPr>
          <w:rFonts w:ascii="Times New Roman" w:hAnsi="Times New Roman" w:cs="Times New Roman"/>
          <w:sz w:val="24"/>
          <w:szCs w:val="24"/>
        </w:rPr>
      </w:pPr>
      <w:r>
        <w:rPr>
          <w:rFonts w:ascii="Times New Roman" w:hAnsi="Times New Roman" w:cs="Times New Roman"/>
          <w:sz w:val="24"/>
          <w:szCs w:val="24"/>
        </w:rPr>
        <w:t xml:space="preserve">             Другим памятником, связанным с военной историей города является Марсово поле, возникшее в первой половине XVIII века как место фейерверков военных парадов (отсюда - название).  На лугу - он назывался тогда Царицыным - проходили смотры гвардейских полков. Пушкин посвятил ему следующие строки: “Люблю воинственную живость потешных Марсовых полей, пехотных ратей и коней однообразную красивость”. </w:t>
      </w:r>
    </w:p>
    <w:p w:rsidR="006975EE" w:rsidRDefault="006975EE">
      <w:pPr>
        <w:rPr>
          <w:rFonts w:ascii="Times New Roman" w:hAnsi="Times New Roman" w:cs="Times New Roman"/>
          <w:sz w:val="24"/>
          <w:szCs w:val="24"/>
        </w:rPr>
      </w:pPr>
      <w:r>
        <w:rPr>
          <w:rFonts w:ascii="Times New Roman" w:hAnsi="Times New Roman" w:cs="Times New Roman"/>
          <w:sz w:val="24"/>
          <w:szCs w:val="24"/>
        </w:rPr>
        <w:t xml:space="preserve">            На Марсово поле выходит фасад огромного по протяженности трехэтажного здания, богато украшенного колоннами  и скульптурой, возведенного по проекту архитектора В. П. Стасова в 1817-1819 годах для казарм Павловского лейб-гвардии полка - замечательный пример русского классицизма первой половины XIX  века. На предмостовой площади (отсюда начинается один из красивейших в городе мостов Троицкий (Кировский),  которая примыкает к Марсову полю и носит имя Суворова, в 1801 году установлен памятник великому полководцу. </w:t>
      </w:r>
    </w:p>
    <w:p w:rsidR="006975EE" w:rsidRDefault="006975EE">
      <w:pPr>
        <w:rPr>
          <w:rFonts w:ascii="Times New Roman" w:hAnsi="Times New Roman" w:cs="Times New Roman"/>
          <w:sz w:val="24"/>
          <w:szCs w:val="24"/>
        </w:rPr>
      </w:pPr>
      <w:r>
        <w:rPr>
          <w:rFonts w:ascii="Times New Roman" w:hAnsi="Times New Roman" w:cs="Times New Roman"/>
          <w:sz w:val="24"/>
          <w:szCs w:val="24"/>
        </w:rPr>
        <w:t xml:space="preserve">            Столб, сложенный из собранных пучками по три и, положенных в противоположные перевязи пурпурных знамен, чередующихся с возникающими из-за них и поверх них, обращенных к центру щита, серебряными орлиными головами - символ зданий, площадей и памятников, связанных с доблестью и славой русского воинства  (Александровская колонна на Дворцовой площади, здание  Главного штаба со знаменитой аркой, памятник А. В. Суворову и площадь Суворова, Марсово поле, здание бывшего штаба войск гвардии, здание бывших казарм Павловского лейб-гвардии полка). С другой стороны, подобная композиция передает уникальный исторический облик Дворцового округа, обилие всемирно известных памятников искусства.  Подобный символ- это и аллегория мотива, используемого как элемент декора зданий, оград, мостов.</w:t>
      </w:r>
    </w:p>
    <w:p w:rsidR="006975EE" w:rsidRDefault="006975EE">
      <w:pPr>
        <w:rPr>
          <w:rFonts w:ascii="Times New Roman" w:hAnsi="Times New Roman" w:cs="Times New Roman"/>
          <w:sz w:val="24"/>
          <w:szCs w:val="24"/>
        </w:rPr>
      </w:pPr>
      <w:r>
        <w:rPr>
          <w:rFonts w:ascii="Times New Roman" w:hAnsi="Times New Roman" w:cs="Times New Roman"/>
          <w:sz w:val="24"/>
          <w:szCs w:val="24"/>
        </w:rPr>
        <w:t xml:space="preserve">            Пурпур (пурпурный) - символ власти, благородства, достоинства, славы, почета.</w:t>
      </w:r>
    </w:p>
    <w:p w:rsidR="006975EE" w:rsidRDefault="006975EE">
      <w:pPr>
        <w:rPr>
          <w:rFonts w:ascii="Times New Roman" w:hAnsi="Times New Roman" w:cs="Times New Roman"/>
          <w:sz w:val="24"/>
          <w:szCs w:val="24"/>
        </w:rPr>
      </w:pPr>
      <w:r>
        <w:rPr>
          <w:rFonts w:ascii="Times New Roman" w:hAnsi="Times New Roman" w:cs="Times New Roman"/>
          <w:sz w:val="24"/>
          <w:szCs w:val="24"/>
        </w:rPr>
        <w:t xml:space="preserve">            Золото - символ божественного сияния, благодати, величия, постоянства, прочности, великодушия, солнечного света.</w:t>
      </w:r>
    </w:p>
    <w:p w:rsidR="006975EE" w:rsidRDefault="006975EE">
      <w:pPr>
        <w:rPr>
          <w:rFonts w:ascii="Times New Roman" w:hAnsi="Times New Roman" w:cs="Times New Roman"/>
          <w:sz w:val="24"/>
          <w:szCs w:val="24"/>
        </w:rPr>
      </w:pPr>
      <w:r>
        <w:rPr>
          <w:rFonts w:ascii="Times New Roman" w:hAnsi="Times New Roman" w:cs="Times New Roman"/>
          <w:sz w:val="24"/>
          <w:szCs w:val="24"/>
        </w:rPr>
        <w:t xml:space="preserve">            Серебро - символ веры, чистоты, искренности, добродетели, невинности».</w:t>
      </w:r>
    </w:p>
    <w:p w:rsidR="006975EE" w:rsidRDefault="006975EE">
      <w:pPr>
        <w:rPr>
          <w:rFonts w:ascii="Times New Roman" w:hAnsi="Times New Roman" w:cs="Times New Roman"/>
          <w:sz w:val="24"/>
          <w:szCs w:val="24"/>
        </w:rPr>
      </w:pPr>
      <w:r>
        <w:rPr>
          <w:rFonts w:ascii="Times New Roman" w:hAnsi="Times New Roman" w:cs="Times New Roman"/>
          <w:sz w:val="24"/>
          <w:szCs w:val="24"/>
        </w:rPr>
        <w:t>1.3. Часть 3 «Описание флага» Положения о Флаге муниципального образования муниципальный округ Дворцовый округ  (далее – Положение о Флаге) изложить в следующей редакции:</w:t>
      </w:r>
    </w:p>
    <w:p w:rsidR="006975EE" w:rsidRDefault="006975EE">
      <w:pPr>
        <w:rPr>
          <w:rFonts w:ascii="Times New Roman" w:hAnsi="Times New Roman" w:cs="Times New Roman"/>
          <w:sz w:val="24"/>
          <w:szCs w:val="24"/>
        </w:rPr>
      </w:pPr>
      <w:r>
        <w:rPr>
          <w:rFonts w:ascii="Times New Roman" w:hAnsi="Times New Roman" w:cs="Times New Roman"/>
          <w:sz w:val="24"/>
          <w:szCs w:val="24"/>
        </w:rPr>
        <w:t>- «Флаг муниципального образования представляет собой прямоугольное полотнище с отношением ширины флага к длине - 2:3, воспроизводящее композицию Герба муниципального образования в желтом, темно-малиновом и белом цветах».</w:t>
      </w:r>
    </w:p>
    <w:p w:rsidR="006975EE" w:rsidRDefault="006975EE">
      <w:pPr>
        <w:rPr>
          <w:rFonts w:ascii="Times New Roman" w:hAnsi="Times New Roman" w:cs="Times New Roman"/>
          <w:sz w:val="24"/>
          <w:szCs w:val="24"/>
        </w:rPr>
      </w:pPr>
      <w:r>
        <w:rPr>
          <w:rFonts w:ascii="Times New Roman" w:hAnsi="Times New Roman" w:cs="Times New Roman"/>
          <w:sz w:val="24"/>
          <w:szCs w:val="24"/>
        </w:rPr>
        <w:t>2. Считать приложения 1-3 к настоящему решению - приложениями 1-3 соответственно к Положению о Гербе муниципального образования муниципальный округ Дворцовый округ, а приложение 4 к настоящему решению - приложением о Флаге муниципального образования муниципальный округ Дворцовый округ.</w:t>
      </w:r>
    </w:p>
    <w:p w:rsidR="006975EE" w:rsidRDefault="006975EE">
      <w:pPr>
        <w:rPr>
          <w:rFonts w:ascii="Times New Roman" w:hAnsi="Times New Roman" w:cs="Times New Roman"/>
          <w:sz w:val="24"/>
          <w:szCs w:val="24"/>
        </w:rPr>
      </w:pPr>
      <w:r>
        <w:rPr>
          <w:rFonts w:ascii="Times New Roman" w:hAnsi="Times New Roman" w:cs="Times New Roman"/>
          <w:sz w:val="24"/>
          <w:szCs w:val="24"/>
        </w:rPr>
        <w:t>3. Обратиться в Геральдический совет при Президенте Российской Федерации с целью внесения Герба и Флага муниципального образования муниципальный округ Дворцовый округ в Государственный геральдический регистр Российской Федерации.</w:t>
      </w:r>
    </w:p>
    <w:p w:rsidR="006975EE" w:rsidRDefault="006975EE">
      <w:pPr>
        <w:rPr>
          <w:rFonts w:ascii="Times New Roman" w:hAnsi="Times New Roman" w:cs="Times New Roman"/>
          <w:sz w:val="24"/>
          <w:szCs w:val="24"/>
        </w:rPr>
      </w:pPr>
      <w:r>
        <w:rPr>
          <w:rFonts w:ascii="Times New Roman" w:hAnsi="Times New Roman" w:cs="Times New Roman"/>
          <w:sz w:val="24"/>
          <w:szCs w:val="24"/>
        </w:rPr>
        <w:t>4. Поручить  главе муниципального образования, исполняющий полномочия председателя муниципального Совета – Агейчик Елене Васильевне -  представлять интересы муниципального образования  муниципальный округ Дворцовый округ в Геральдическом совете при Президенте РФ.</w:t>
      </w:r>
    </w:p>
    <w:p w:rsidR="006975EE" w:rsidRDefault="006975EE">
      <w:pPr>
        <w:rPr>
          <w:rFonts w:ascii="Times New Roman" w:hAnsi="Times New Roman" w:cs="Times New Roman"/>
          <w:sz w:val="24"/>
          <w:szCs w:val="24"/>
        </w:rPr>
      </w:pPr>
      <w:r>
        <w:rPr>
          <w:rFonts w:ascii="Times New Roman" w:hAnsi="Times New Roman" w:cs="Times New Roman"/>
          <w:sz w:val="24"/>
          <w:szCs w:val="24"/>
        </w:rPr>
        <w:t>5. Настоящее решение вступает в силу с момента его опубликования.</w:t>
      </w:r>
    </w:p>
    <w:p w:rsidR="006975EE" w:rsidRDefault="006975EE">
      <w:pPr>
        <w:rPr>
          <w:rFonts w:ascii="Times New Roman" w:hAnsi="Times New Roman" w:cs="Times New Roman"/>
          <w:sz w:val="24"/>
          <w:szCs w:val="24"/>
        </w:rPr>
      </w:pPr>
      <w:r>
        <w:rPr>
          <w:rFonts w:ascii="Times New Roman" w:hAnsi="Times New Roman" w:cs="Times New Roman"/>
          <w:sz w:val="24"/>
          <w:szCs w:val="24"/>
        </w:rPr>
        <w:t>6. Опубликовать настоящее решение в газете Дворцовый округ».</w:t>
      </w:r>
    </w:p>
    <w:p w:rsidR="006975EE" w:rsidRDefault="006975EE">
      <w:pPr>
        <w:rPr>
          <w:rFonts w:ascii="Times New Roman" w:hAnsi="Times New Roman" w:cs="Times New Roman"/>
          <w:sz w:val="24"/>
          <w:szCs w:val="24"/>
        </w:rPr>
      </w:pPr>
      <w:r>
        <w:rPr>
          <w:rFonts w:ascii="Times New Roman" w:hAnsi="Times New Roman" w:cs="Times New Roman"/>
          <w:sz w:val="24"/>
          <w:szCs w:val="24"/>
        </w:rPr>
        <w:t>7. Контроль за исполнением решения возложить на главу муниципального образования, исполняющий полномочия председателя муниципального Совета.</w:t>
      </w:r>
    </w:p>
    <w:p w:rsidR="006975EE" w:rsidRDefault="006975EE">
      <w:pPr>
        <w:rPr>
          <w:rFonts w:ascii="Times New Roman" w:hAnsi="Times New Roman" w:cs="Times New Roman"/>
          <w:sz w:val="24"/>
          <w:szCs w:val="24"/>
        </w:rPr>
      </w:pPr>
    </w:p>
    <w:p w:rsidR="006975EE" w:rsidRDefault="006975EE">
      <w:pPr>
        <w:rPr>
          <w:rFonts w:ascii="Times New Roman" w:hAnsi="Times New Roman" w:cs="Times New Roman"/>
          <w:sz w:val="24"/>
          <w:szCs w:val="24"/>
        </w:rPr>
      </w:pPr>
      <w:r>
        <w:rPr>
          <w:rFonts w:ascii="Times New Roman" w:hAnsi="Times New Roman" w:cs="Times New Roman"/>
          <w:sz w:val="24"/>
          <w:szCs w:val="24"/>
        </w:rPr>
        <w:t xml:space="preserve"> Глава муниципального образования,</w:t>
      </w:r>
    </w:p>
    <w:p w:rsidR="006975EE" w:rsidRDefault="006975EE">
      <w:pPr>
        <w:rPr>
          <w:rFonts w:ascii="Times New Roman" w:hAnsi="Times New Roman" w:cs="Times New Roman"/>
          <w:sz w:val="24"/>
          <w:szCs w:val="24"/>
        </w:rPr>
      </w:pPr>
      <w:r>
        <w:rPr>
          <w:rFonts w:ascii="Times New Roman" w:hAnsi="Times New Roman" w:cs="Times New Roman"/>
          <w:sz w:val="24"/>
          <w:szCs w:val="24"/>
        </w:rPr>
        <w:t xml:space="preserve"> исполняющий полномочия председателя муниципального Совета                                  Е.В. Агейчик                                                                       </w:t>
      </w:r>
    </w:p>
    <w:p w:rsidR="006975EE" w:rsidRDefault="006975EE">
      <w:pPr>
        <w:rPr>
          <w:rFonts w:ascii="Times New Roman" w:hAnsi="Times New Roman" w:cs="Times New Roman"/>
          <w:sz w:val="24"/>
          <w:szCs w:val="24"/>
        </w:rPr>
      </w:pPr>
    </w:p>
    <w:p w:rsidR="006975EE" w:rsidRDefault="006975EE">
      <w:pPr>
        <w:rPr>
          <w:rFonts w:ascii="Times New Roman" w:hAnsi="Times New Roman" w:cs="Times New Roman"/>
          <w:sz w:val="24"/>
          <w:szCs w:val="24"/>
        </w:rPr>
      </w:pPr>
    </w:p>
    <w:p w:rsidR="006975EE" w:rsidRDefault="006975EE">
      <w:pPr>
        <w:rPr>
          <w:rFonts w:ascii="Times New Roman" w:hAnsi="Times New Roman" w:cs="Times New Roman"/>
          <w:i/>
          <w:iCs/>
          <w:sz w:val="24"/>
          <w:szCs w:val="24"/>
        </w:rPr>
      </w:pPr>
    </w:p>
    <w:p w:rsidR="006975EE" w:rsidRDefault="006975EE">
      <w:pPr>
        <w:jc w:val="right"/>
        <w:rPr>
          <w:rFonts w:ascii="Times New Roman" w:hAnsi="Times New Roman" w:cs="Times New Roman"/>
          <w:i/>
          <w:iCs/>
          <w:sz w:val="24"/>
          <w:szCs w:val="24"/>
        </w:rPr>
      </w:pPr>
      <w:r>
        <w:rPr>
          <w:rFonts w:ascii="Times New Roman" w:hAnsi="Times New Roman" w:cs="Times New Roman"/>
          <w:i/>
          <w:iCs/>
          <w:sz w:val="24"/>
          <w:szCs w:val="24"/>
        </w:rPr>
        <w:t xml:space="preserve">                                                                                               Приложение 1 </w:t>
      </w:r>
    </w:p>
    <w:p w:rsidR="006975EE" w:rsidRDefault="006975EE">
      <w:pPr>
        <w:jc w:val="right"/>
        <w:rPr>
          <w:rFonts w:ascii="Times New Roman" w:hAnsi="Times New Roman" w:cs="Times New Roman"/>
          <w:i/>
          <w:iCs/>
          <w:sz w:val="24"/>
          <w:szCs w:val="24"/>
        </w:rPr>
      </w:pPr>
      <w:r>
        <w:rPr>
          <w:rFonts w:ascii="Times New Roman" w:hAnsi="Times New Roman" w:cs="Times New Roman"/>
          <w:i/>
          <w:iCs/>
          <w:sz w:val="24"/>
          <w:szCs w:val="24"/>
        </w:rPr>
        <w:t xml:space="preserve">                                                        Цветное изображение герба.</w:t>
      </w:r>
    </w:p>
    <w:p w:rsidR="006975EE" w:rsidRDefault="006975EE">
      <w:pPr>
        <w:jc w:val="right"/>
        <w:rPr>
          <w:rFonts w:ascii="Times New Roman" w:hAnsi="Times New Roman" w:cs="Times New Roman"/>
          <w:i/>
          <w:iCs/>
          <w:sz w:val="24"/>
          <w:szCs w:val="24"/>
        </w:rPr>
      </w:pPr>
      <w:r>
        <w:rPr>
          <w:rFonts w:ascii="Times New Roman" w:hAnsi="Times New Roman" w:cs="Times New Roman"/>
          <w:i/>
          <w:iCs/>
          <w:sz w:val="24"/>
          <w:szCs w:val="24"/>
        </w:rPr>
        <w:t xml:space="preserve">                                                                                               Приложение 2 </w:t>
      </w:r>
    </w:p>
    <w:p w:rsidR="006975EE" w:rsidRDefault="006975EE">
      <w:pPr>
        <w:jc w:val="right"/>
        <w:rPr>
          <w:rFonts w:ascii="Times New Roman" w:hAnsi="Times New Roman" w:cs="Times New Roman"/>
          <w:i/>
          <w:iCs/>
          <w:sz w:val="24"/>
          <w:szCs w:val="24"/>
        </w:rPr>
      </w:pPr>
      <w:r>
        <w:rPr>
          <w:rFonts w:ascii="Times New Roman" w:hAnsi="Times New Roman" w:cs="Times New Roman"/>
          <w:i/>
          <w:iCs/>
          <w:sz w:val="24"/>
          <w:szCs w:val="24"/>
        </w:rPr>
        <w:t xml:space="preserve">                                        Черно-белое контурное изображение герба.</w:t>
      </w:r>
    </w:p>
    <w:p w:rsidR="006975EE" w:rsidRDefault="006975EE">
      <w:pPr>
        <w:jc w:val="right"/>
        <w:rPr>
          <w:rFonts w:ascii="Times New Roman" w:hAnsi="Times New Roman" w:cs="Times New Roman"/>
          <w:i/>
          <w:iCs/>
          <w:sz w:val="24"/>
          <w:szCs w:val="24"/>
        </w:rPr>
      </w:pPr>
      <w:r>
        <w:rPr>
          <w:rFonts w:ascii="Times New Roman" w:hAnsi="Times New Roman" w:cs="Times New Roman"/>
          <w:i/>
          <w:iCs/>
          <w:sz w:val="24"/>
          <w:szCs w:val="24"/>
        </w:rPr>
        <w:t xml:space="preserve">                                                                                                                  Приложение 3 </w:t>
      </w:r>
    </w:p>
    <w:p w:rsidR="006975EE" w:rsidRDefault="006975EE">
      <w:pPr>
        <w:jc w:val="right"/>
        <w:rPr>
          <w:rFonts w:ascii="Times New Roman" w:hAnsi="Times New Roman" w:cs="Times New Roman"/>
          <w:i/>
          <w:iCs/>
          <w:sz w:val="24"/>
          <w:szCs w:val="24"/>
        </w:rPr>
      </w:pPr>
      <w:r>
        <w:rPr>
          <w:rFonts w:ascii="Times New Roman" w:hAnsi="Times New Roman" w:cs="Times New Roman"/>
          <w:i/>
          <w:iCs/>
          <w:sz w:val="24"/>
          <w:szCs w:val="24"/>
        </w:rPr>
        <w:t>Черно-белое контурное с использованием условной штриховки для обозначения цветов изображение герба.</w:t>
      </w:r>
    </w:p>
    <w:p w:rsidR="006975EE" w:rsidRDefault="006975EE">
      <w:pPr>
        <w:jc w:val="right"/>
        <w:rPr>
          <w:rFonts w:ascii="Times New Roman" w:hAnsi="Times New Roman" w:cs="Times New Roman"/>
          <w:i/>
          <w:iCs/>
          <w:sz w:val="24"/>
          <w:szCs w:val="24"/>
        </w:rPr>
      </w:pPr>
      <w:r>
        <w:rPr>
          <w:rFonts w:ascii="Times New Roman" w:hAnsi="Times New Roman" w:cs="Times New Roman"/>
          <w:i/>
          <w:iCs/>
          <w:sz w:val="24"/>
          <w:szCs w:val="24"/>
        </w:rPr>
        <w:t xml:space="preserve">                                                                                                                    Приложение 4 </w:t>
      </w:r>
    </w:p>
    <w:p w:rsidR="006975EE" w:rsidRDefault="006975EE">
      <w:pPr>
        <w:jc w:val="right"/>
        <w:rPr>
          <w:rFonts w:ascii="Times New Roman" w:hAnsi="Times New Roman" w:cs="Times New Roman"/>
          <w:i/>
          <w:iCs/>
          <w:sz w:val="24"/>
          <w:szCs w:val="24"/>
        </w:rPr>
      </w:pPr>
      <w:r>
        <w:rPr>
          <w:rFonts w:ascii="Times New Roman" w:hAnsi="Times New Roman" w:cs="Times New Roman"/>
          <w:i/>
          <w:iCs/>
          <w:sz w:val="24"/>
          <w:szCs w:val="24"/>
        </w:rPr>
        <w:t xml:space="preserve">                                                           Изображение флага.</w:t>
      </w:r>
    </w:p>
    <w:sectPr w:rsidR="006975EE" w:rsidSect="006975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75EE"/>
    <w:rsid w:val="006975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rFonts w:ascii="Arial" w:hAnsi="Arial" w:cs="Arial"/>
      <w:b/>
      <w:bCs/>
      <w:color w:val="3366FF"/>
      <w:sz w:val="24"/>
      <w:szCs w:val="24"/>
    </w:rPr>
  </w:style>
  <w:style w:type="character" w:customStyle="1" w:styleId="TitleChar">
    <w:name w:val="Title Char"/>
    <w:basedOn w:val="DefaultParagraphFont"/>
    <w:link w:val="Title"/>
    <w:uiPriority w:val="10"/>
    <w:rsid w:val="006975EE"/>
    <w:rPr>
      <w:rFonts w:asciiTheme="majorHAnsi" w:eastAsiaTheme="majorEastAsia"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4</Pages>
  <Words>1531</Words>
  <Characters>8731</Characters>
  <Application>Microsoft Office Outlook</Application>
  <DocSecurity>0</DocSecurity>
  <Lines>0</Lines>
  <Paragraphs>0</Paragraphs>
  <ScaleCrop>false</ScaleCrop>
  <Company>ОАО Техдиагностика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МУНИЦИПАЛЬНЫЙ ОКРУГ</dc:title>
  <dc:subject/>
  <dc:creator>Volk</dc:creator>
  <cp:keywords/>
  <dc:description/>
  <cp:lastModifiedBy>Ломанцов Виктор Анатольевич</cp:lastModifiedBy>
  <cp:revision>2</cp:revision>
  <dcterms:created xsi:type="dcterms:W3CDTF">2012-08-07T10:10:00Z</dcterms:created>
  <dcterms:modified xsi:type="dcterms:W3CDTF">2012-08-07T10:10:00Z</dcterms:modified>
</cp:coreProperties>
</file>